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927" w:rsidRPr="00DF47CA" w:rsidRDefault="00F57927" w:rsidP="00F57927">
      <w:pPr>
        <w:spacing w:line="360" w:lineRule="exact"/>
        <w:ind w:firstLineChars="845" w:firstLine="3043"/>
        <w:rPr>
          <w:rFonts w:ascii="楷体_GB2312" w:eastAsia="楷体_GB2312"/>
          <w:b/>
          <w:snapToGrid w:val="0"/>
          <w:sz w:val="36"/>
          <w:szCs w:val="36"/>
        </w:rPr>
      </w:pPr>
      <w:r w:rsidRPr="00DF47CA">
        <w:rPr>
          <w:rFonts w:ascii="楷体_GB2312" w:eastAsia="楷体_GB2312" w:hint="eastAsia"/>
          <w:b/>
          <w:snapToGrid w:val="0"/>
          <w:sz w:val="36"/>
          <w:szCs w:val="36"/>
        </w:rPr>
        <w:t>名 家 讲 座</w:t>
      </w:r>
    </w:p>
    <w:p w:rsidR="00F57927" w:rsidRDefault="00F57927" w:rsidP="00F57927">
      <w:pPr>
        <w:spacing w:line="360" w:lineRule="exact"/>
        <w:rPr>
          <w:rFonts w:ascii="楷体_GB2312" w:eastAsia="楷体_GB2312"/>
          <w:b/>
          <w:snapToGrid w:val="0"/>
          <w:sz w:val="24"/>
        </w:rPr>
      </w:pPr>
    </w:p>
    <w:p w:rsidR="00F57927" w:rsidRPr="00DF47CA" w:rsidRDefault="00F57927" w:rsidP="00F57927">
      <w:pPr>
        <w:spacing w:line="360" w:lineRule="exact"/>
        <w:rPr>
          <w:rFonts w:ascii="楷体_GB2312" w:eastAsia="楷体_GB2312"/>
          <w:b/>
          <w:snapToGrid w:val="0"/>
          <w:sz w:val="24"/>
        </w:rPr>
      </w:pPr>
    </w:p>
    <w:p w:rsidR="00F57927" w:rsidRPr="00DF47CA" w:rsidRDefault="00F57927" w:rsidP="00F57927">
      <w:pPr>
        <w:spacing w:line="360" w:lineRule="exact"/>
        <w:rPr>
          <w:rFonts w:eastAsia="楷体_GB2312"/>
          <w:b/>
          <w:color w:val="000000"/>
          <w:sz w:val="28"/>
          <w:szCs w:val="28"/>
        </w:rPr>
      </w:pPr>
      <w:r w:rsidRPr="00DF47CA">
        <w:rPr>
          <w:rFonts w:eastAsia="楷体_GB2312"/>
          <w:b/>
          <w:snapToGrid w:val="0"/>
          <w:sz w:val="24"/>
        </w:rPr>
        <w:t xml:space="preserve"> </w:t>
      </w:r>
      <w:r w:rsidRPr="00DF47CA">
        <w:rPr>
          <w:rFonts w:eastAsia="楷体_GB2312"/>
          <w:b/>
          <w:snapToGrid w:val="0"/>
          <w:sz w:val="28"/>
          <w:szCs w:val="28"/>
        </w:rPr>
        <w:t>报告题目：</w:t>
      </w:r>
      <w:r w:rsidR="002E6DAE" w:rsidRPr="002E6DAE">
        <w:rPr>
          <w:rStyle w:val="a3"/>
          <w:rFonts w:hint="eastAsia"/>
          <w:color w:val="000000"/>
          <w:sz w:val="28"/>
          <w:szCs w:val="28"/>
          <w:shd w:val="clear" w:color="auto" w:fill="FFFFFF"/>
        </w:rPr>
        <w:t>市场营销导向与技术创新：制度设计和政策支持的调谐作用</w:t>
      </w:r>
    </w:p>
    <w:p w:rsidR="00F57927" w:rsidRPr="00DF47CA" w:rsidRDefault="00F57927" w:rsidP="00F57927">
      <w:pPr>
        <w:spacing w:line="360" w:lineRule="exact"/>
        <w:rPr>
          <w:rFonts w:eastAsia="楷体_GB2312"/>
          <w:b/>
          <w:snapToGrid w:val="0"/>
          <w:sz w:val="28"/>
          <w:szCs w:val="28"/>
        </w:rPr>
      </w:pPr>
    </w:p>
    <w:p w:rsidR="00F57927" w:rsidRPr="00DF47CA" w:rsidRDefault="00F57927" w:rsidP="00F57927">
      <w:pPr>
        <w:spacing w:line="360" w:lineRule="exact"/>
        <w:rPr>
          <w:rFonts w:eastAsia="楷体_GB2312"/>
          <w:b/>
          <w:snapToGrid w:val="0"/>
          <w:sz w:val="28"/>
          <w:szCs w:val="28"/>
        </w:rPr>
      </w:pPr>
      <w:r w:rsidRPr="00DF47CA">
        <w:rPr>
          <w:rFonts w:eastAsia="楷体_GB2312"/>
          <w:b/>
          <w:snapToGrid w:val="0"/>
          <w:sz w:val="30"/>
          <w:szCs w:val="30"/>
        </w:rPr>
        <w:t xml:space="preserve"> </w:t>
      </w:r>
      <w:r w:rsidRPr="00DF47CA">
        <w:rPr>
          <w:rFonts w:eastAsia="楷体_GB2312"/>
          <w:b/>
          <w:snapToGrid w:val="0"/>
          <w:sz w:val="28"/>
          <w:szCs w:val="28"/>
        </w:rPr>
        <w:t>报</w:t>
      </w:r>
      <w:r w:rsidRPr="00DF47CA">
        <w:rPr>
          <w:rFonts w:eastAsia="楷体_GB2312"/>
          <w:b/>
          <w:snapToGrid w:val="0"/>
          <w:sz w:val="28"/>
          <w:szCs w:val="28"/>
        </w:rPr>
        <w:t xml:space="preserve"> </w:t>
      </w:r>
      <w:r w:rsidRPr="00DF47CA">
        <w:rPr>
          <w:rFonts w:eastAsia="楷体_GB2312"/>
          <w:b/>
          <w:snapToGrid w:val="0"/>
          <w:sz w:val="28"/>
          <w:szCs w:val="28"/>
        </w:rPr>
        <w:t>告</w:t>
      </w:r>
      <w:r w:rsidRPr="00DF47CA">
        <w:rPr>
          <w:rFonts w:eastAsia="楷体_GB2312"/>
          <w:b/>
          <w:snapToGrid w:val="0"/>
          <w:sz w:val="28"/>
          <w:szCs w:val="28"/>
        </w:rPr>
        <w:t xml:space="preserve"> </w:t>
      </w:r>
      <w:r w:rsidRPr="00DF47CA">
        <w:rPr>
          <w:rFonts w:eastAsia="楷体_GB2312"/>
          <w:b/>
          <w:snapToGrid w:val="0"/>
          <w:sz w:val="28"/>
          <w:szCs w:val="28"/>
        </w:rPr>
        <w:t>人</w:t>
      </w:r>
      <w:r>
        <w:rPr>
          <w:rFonts w:eastAsia="楷体_GB2312"/>
          <w:b/>
          <w:snapToGrid w:val="0"/>
          <w:sz w:val="28"/>
          <w:szCs w:val="28"/>
        </w:rPr>
        <w:t>：</w:t>
      </w:r>
      <w:r>
        <w:rPr>
          <w:rFonts w:eastAsia="楷体_GB2312" w:hint="eastAsia"/>
          <w:b/>
          <w:snapToGrid w:val="0"/>
          <w:sz w:val="28"/>
          <w:szCs w:val="28"/>
        </w:rPr>
        <w:t>邓胜梁</w:t>
      </w:r>
      <w:r w:rsidRPr="00DF47CA">
        <w:rPr>
          <w:rFonts w:eastAsia="楷体_GB2312"/>
          <w:b/>
          <w:snapToGrid w:val="0"/>
          <w:sz w:val="28"/>
          <w:szCs w:val="28"/>
        </w:rPr>
        <w:t xml:space="preserve">  </w:t>
      </w:r>
      <w:r w:rsidRPr="00DF47CA">
        <w:rPr>
          <w:rFonts w:eastAsia="楷体_GB2312"/>
          <w:b/>
          <w:snapToGrid w:val="0"/>
          <w:sz w:val="28"/>
          <w:szCs w:val="28"/>
        </w:rPr>
        <w:t>教授</w:t>
      </w:r>
    </w:p>
    <w:p w:rsidR="00F57927" w:rsidRPr="00DF47CA" w:rsidRDefault="00F57927" w:rsidP="00F57927">
      <w:pPr>
        <w:spacing w:line="360" w:lineRule="exact"/>
        <w:rPr>
          <w:rFonts w:eastAsia="楷体_GB2312"/>
          <w:b/>
          <w:snapToGrid w:val="0"/>
          <w:sz w:val="28"/>
          <w:szCs w:val="28"/>
        </w:rPr>
      </w:pPr>
    </w:p>
    <w:p w:rsidR="00F57927" w:rsidRPr="00DF47CA" w:rsidRDefault="00F57927" w:rsidP="00F57927">
      <w:pPr>
        <w:spacing w:line="360" w:lineRule="exact"/>
        <w:rPr>
          <w:rFonts w:eastAsia="楷体_GB2312"/>
          <w:b/>
          <w:snapToGrid w:val="0"/>
          <w:sz w:val="28"/>
          <w:szCs w:val="28"/>
        </w:rPr>
      </w:pPr>
      <w:r w:rsidRPr="00DF47CA">
        <w:rPr>
          <w:rFonts w:eastAsia="楷体_GB2312"/>
          <w:b/>
          <w:snapToGrid w:val="0"/>
          <w:sz w:val="28"/>
          <w:szCs w:val="28"/>
        </w:rPr>
        <w:t xml:space="preserve"> </w:t>
      </w:r>
      <w:r w:rsidRPr="00DF47CA">
        <w:rPr>
          <w:rFonts w:eastAsia="楷体_GB2312"/>
          <w:b/>
          <w:snapToGrid w:val="0"/>
          <w:sz w:val="28"/>
          <w:szCs w:val="28"/>
        </w:rPr>
        <w:t>报告时间：</w:t>
      </w:r>
      <w:r w:rsidRPr="00DF47CA">
        <w:rPr>
          <w:rFonts w:eastAsia="楷体_GB2312"/>
          <w:b/>
          <w:snapToGrid w:val="0"/>
          <w:sz w:val="28"/>
          <w:szCs w:val="28"/>
        </w:rPr>
        <w:t>201</w:t>
      </w:r>
      <w:r>
        <w:rPr>
          <w:rFonts w:eastAsia="楷体_GB2312" w:hint="eastAsia"/>
          <w:b/>
          <w:snapToGrid w:val="0"/>
          <w:sz w:val="28"/>
          <w:szCs w:val="28"/>
        </w:rPr>
        <w:t>5</w:t>
      </w:r>
      <w:r w:rsidRPr="00DF47CA">
        <w:rPr>
          <w:rFonts w:eastAsia="楷体_GB2312"/>
          <w:b/>
          <w:snapToGrid w:val="0"/>
          <w:sz w:val="28"/>
          <w:szCs w:val="28"/>
        </w:rPr>
        <w:t>年</w:t>
      </w:r>
      <w:r>
        <w:rPr>
          <w:rFonts w:eastAsia="楷体_GB2312" w:hint="eastAsia"/>
          <w:b/>
          <w:snapToGrid w:val="0"/>
          <w:sz w:val="28"/>
          <w:szCs w:val="28"/>
        </w:rPr>
        <w:t>7</w:t>
      </w:r>
      <w:r w:rsidRPr="00DF47CA">
        <w:rPr>
          <w:rFonts w:eastAsia="楷体_GB2312"/>
          <w:b/>
          <w:snapToGrid w:val="0"/>
          <w:sz w:val="28"/>
          <w:szCs w:val="28"/>
        </w:rPr>
        <w:t>月</w:t>
      </w:r>
      <w:r>
        <w:rPr>
          <w:rFonts w:eastAsia="楷体_GB2312" w:hint="eastAsia"/>
          <w:b/>
          <w:snapToGrid w:val="0"/>
          <w:sz w:val="28"/>
          <w:szCs w:val="28"/>
        </w:rPr>
        <w:t>8</w:t>
      </w:r>
      <w:r w:rsidRPr="00DF47CA">
        <w:rPr>
          <w:rFonts w:eastAsia="楷体_GB2312"/>
          <w:b/>
          <w:snapToGrid w:val="0"/>
          <w:sz w:val="28"/>
          <w:szCs w:val="28"/>
        </w:rPr>
        <w:t>日下午</w:t>
      </w:r>
      <w:r w:rsidRPr="00DF47CA">
        <w:rPr>
          <w:rFonts w:eastAsia="楷体_GB2312"/>
          <w:b/>
          <w:snapToGrid w:val="0"/>
          <w:sz w:val="28"/>
          <w:szCs w:val="28"/>
        </w:rPr>
        <w:t>1</w:t>
      </w:r>
      <w:r>
        <w:rPr>
          <w:rFonts w:eastAsia="楷体_GB2312" w:hint="eastAsia"/>
          <w:b/>
          <w:snapToGrid w:val="0"/>
          <w:sz w:val="28"/>
          <w:szCs w:val="28"/>
        </w:rPr>
        <w:t>4</w:t>
      </w:r>
      <w:r w:rsidRPr="00DF47CA">
        <w:rPr>
          <w:rFonts w:eastAsia="楷体_GB2312"/>
          <w:b/>
          <w:snapToGrid w:val="0"/>
          <w:sz w:val="28"/>
          <w:szCs w:val="28"/>
        </w:rPr>
        <w:t>:</w:t>
      </w:r>
      <w:r>
        <w:rPr>
          <w:rFonts w:eastAsia="楷体_GB2312" w:hint="eastAsia"/>
          <w:b/>
          <w:snapToGrid w:val="0"/>
          <w:sz w:val="28"/>
          <w:szCs w:val="28"/>
        </w:rPr>
        <w:t>0</w:t>
      </w:r>
      <w:r w:rsidRPr="00DF47CA">
        <w:rPr>
          <w:rFonts w:eastAsia="楷体_GB2312"/>
          <w:b/>
          <w:snapToGrid w:val="0"/>
          <w:sz w:val="28"/>
          <w:szCs w:val="28"/>
        </w:rPr>
        <w:t>0</w:t>
      </w:r>
    </w:p>
    <w:p w:rsidR="00F57927" w:rsidRPr="00DF47CA" w:rsidRDefault="00F57927" w:rsidP="00F57927">
      <w:pPr>
        <w:spacing w:line="360" w:lineRule="exact"/>
        <w:rPr>
          <w:rFonts w:eastAsia="楷体_GB2312"/>
          <w:b/>
          <w:snapToGrid w:val="0"/>
          <w:sz w:val="28"/>
          <w:szCs w:val="28"/>
        </w:rPr>
      </w:pPr>
    </w:p>
    <w:p w:rsidR="00F57927" w:rsidRPr="00DF47CA" w:rsidRDefault="00F57927" w:rsidP="00F57927">
      <w:pPr>
        <w:spacing w:line="360" w:lineRule="exact"/>
        <w:rPr>
          <w:rFonts w:eastAsia="楷体_GB2312"/>
          <w:b/>
          <w:snapToGrid w:val="0"/>
          <w:sz w:val="28"/>
          <w:szCs w:val="28"/>
        </w:rPr>
      </w:pPr>
      <w:r w:rsidRPr="00DF47CA">
        <w:rPr>
          <w:rFonts w:eastAsia="楷体_GB2312"/>
          <w:b/>
          <w:snapToGrid w:val="0"/>
          <w:sz w:val="28"/>
          <w:szCs w:val="28"/>
        </w:rPr>
        <w:t xml:space="preserve"> </w:t>
      </w:r>
      <w:r w:rsidRPr="00DF47CA">
        <w:rPr>
          <w:rFonts w:eastAsia="楷体_GB2312"/>
          <w:b/>
          <w:snapToGrid w:val="0"/>
          <w:sz w:val="28"/>
          <w:szCs w:val="28"/>
        </w:rPr>
        <w:t>报告地点：东荣大厦</w:t>
      </w:r>
      <w:r>
        <w:rPr>
          <w:rFonts w:eastAsia="楷体_GB2312" w:hint="eastAsia"/>
          <w:b/>
          <w:snapToGrid w:val="0"/>
          <w:sz w:val="28"/>
          <w:szCs w:val="28"/>
        </w:rPr>
        <w:t>A</w:t>
      </w:r>
      <w:r>
        <w:rPr>
          <w:rFonts w:eastAsia="楷体_GB2312" w:hint="eastAsia"/>
          <w:b/>
          <w:snapToGrid w:val="0"/>
          <w:sz w:val="28"/>
          <w:szCs w:val="28"/>
        </w:rPr>
        <w:t>区</w:t>
      </w:r>
      <w:r>
        <w:rPr>
          <w:rFonts w:eastAsia="楷体_GB2312" w:hint="eastAsia"/>
          <w:b/>
          <w:snapToGrid w:val="0"/>
          <w:sz w:val="28"/>
          <w:szCs w:val="28"/>
        </w:rPr>
        <w:t>604</w:t>
      </w:r>
      <w:r w:rsidRPr="00DF47CA">
        <w:rPr>
          <w:rFonts w:eastAsia="楷体_GB2312"/>
          <w:b/>
          <w:snapToGrid w:val="0"/>
          <w:sz w:val="28"/>
          <w:szCs w:val="28"/>
        </w:rPr>
        <w:t>报告厅</w:t>
      </w:r>
    </w:p>
    <w:p w:rsidR="00F57927" w:rsidRDefault="00F57927" w:rsidP="002E6DAE">
      <w:pPr>
        <w:spacing w:line="360" w:lineRule="exact"/>
        <w:ind w:firstLineChars="200" w:firstLine="480"/>
        <w:rPr>
          <w:rFonts w:eastAsia="楷体_GB2312" w:hint="eastAsia"/>
          <w:b/>
          <w:snapToGrid w:val="0"/>
          <w:sz w:val="24"/>
        </w:rPr>
      </w:pPr>
    </w:p>
    <w:p w:rsidR="00F57927" w:rsidRPr="00DF47CA" w:rsidRDefault="00F57927" w:rsidP="00F57927">
      <w:pPr>
        <w:spacing w:line="360" w:lineRule="exact"/>
        <w:ind w:firstLineChars="200" w:firstLine="480"/>
        <w:rPr>
          <w:rFonts w:eastAsia="楷体_GB2312"/>
          <w:b/>
          <w:snapToGrid w:val="0"/>
          <w:sz w:val="24"/>
        </w:rPr>
      </w:pPr>
    </w:p>
    <w:p w:rsidR="00F57927" w:rsidRPr="00DF47CA" w:rsidRDefault="00F57927" w:rsidP="00F57927">
      <w:pPr>
        <w:spacing w:line="360" w:lineRule="exact"/>
        <w:rPr>
          <w:rFonts w:eastAsia="楷体_GB2312"/>
          <w:b/>
          <w:snapToGrid w:val="0"/>
          <w:sz w:val="24"/>
        </w:rPr>
      </w:pPr>
      <w:r>
        <w:rPr>
          <w:rFonts w:eastAsia="楷体_GB2312" w:hint="eastAsia"/>
          <w:b/>
          <w:snapToGrid w:val="0"/>
          <w:sz w:val="28"/>
          <w:szCs w:val="28"/>
        </w:rPr>
        <w:t>邓胜梁</w:t>
      </w:r>
      <w:r w:rsidRPr="00F57927">
        <w:rPr>
          <w:rFonts w:eastAsia="楷体_GB2312"/>
          <w:b/>
          <w:snapToGrid w:val="0"/>
          <w:sz w:val="28"/>
          <w:szCs w:val="28"/>
        </w:rPr>
        <w:t>教授简介</w:t>
      </w:r>
      <w:r w:rsidR="00DB2650">
        <w:rPr>
          <w:rFonts w:eastAsia="楷体_GB2312" w:hint="eastAsia"/>
          <w:b/>
          <w:snapToGrid w:val="0"/>
          <w:sz w:val="28"/>
          <w:szCs w:val="28"/>
        </w:rPr>
        <w:t>：</w:t>
      </w:r>
    </w:p>
    <w:p w:rsidR="00F57927" w:rsidRPr="00F57927" w:rsidRDefault="00F57927" w:rsidP="00F57927">
      <w:pPr>
        <w:tabs>
          <w:tab w:val="num" w:pos="720"/>
        </w:tabs>
        <w:spacing w:line="400" w:lineRule="exact"/>
        <w:rPr>
          <w:rFonts w:ascii="宋体" w:hAnsi="宋体"/>
          <w:bCs/>
          <w:sz w:val="24"/>
        </w:rPr>
      </w:pPr>
      <w:r>
        <w:rPr>
          <w:rFonts w:hAnsi="宋体" w:hint="eastAsia"/>
          <w:sz w:val="24"/>
        </w:rPr>
        <w:t xml:space="preserve">   </w:t>
      </w:r>
      <w:r w:rsidRPr="00F57927">
        <w:rPr>
          <w:rFonts w:asciiTheme="minorEastAsia" w:eastAsiaTheme="minorEastAsia" w:hAnsiTheme="minorEastAsia" w:hint="eastAsia"/>
          <w:sz w:val="24"/>
        </w:rPr>
        <w:t xml:space="preserve"> </w:t>
      </w:r>
      <w:r w:rsidRPr="00F57927">
        <w:rPr>
          <w:rFonts w:ascii="宋体" w:hAnsi="宋体"/>
          <w:sz w:val="24"/>
        </w:rPr>
        <w:t>邓胜梁博士现任加拿大布鲁克大学终身教授，同时兼任美国美国社会科学协会中国经济学协会资深研究员，Beta Gamma Sigma Honorary Society终身会员，营销科学学会会员，全球商务协会会员，国际商务学会会员，美国决策科学学会会员，同时任美国和欧洲多种学术期刊的编委和</w:t>
      </w:r>
      <w:r w:rsidRPr="00F57927">
        <w:rPr>
          <w:rFonts w:ascii="宋体" w:hAnsi="宋体"/>
          <w:bCs/>
          <w:sz w:val="24"/>
        </w:rPr>
        <w:t>SSCI/SCI收录期刊论文</w:t>
      </w:r>
      <w:r w:rsidRPr="00F57927">
        <w:rPr>
          <w:rFonts w:ascii="宋体" w:hAnsi="宋体"/>
          <w:sz w:val="24"/>
        </w:rPr>
        <w:t>审稿人。</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w:t>
      </w:r>
      <w:r w:rsidRPr="00F57927">
        <w:rPr>
          <w:rFonts w:ascii="宋体" w:hAnsi="宋体"/>
          <w:bCs/>
          <w:sz w:val="24"/>
        </w:rPr>
        <w:t>在市场营销、中小企业管理、服务营销管理等国际学术领域成果丰厚，已累计在国际知名学术期刊发表论文70余篇，其中SCI收录2篇，SSCI收录12篇，EI收录2篇，ASPA收录11篇，其它期刊40余篇，共被SCI/SSCI引用135次，另撰写或参编学术著作20部；曾获美国、加拿大等国政府机构和企业组织的各类资助项目66项；多次受邀担任重要营销国际会议主席和论文评委，并作主题发言；曾任美国社会科学协会中国经济学家协会副主席。他积极深入到加拿大、美国和中国的各类企业举行学术讲座和咨询活动，积极与国内大学合作，在推进西方新的管理、营销理论在中国的普及与实施做出了突出贡献：他在国际学术界的主要贡献为：</w:t>
      </w:r>
    </w:p>
    <w:p w:rsidR="00F57927" w:rsidRPr="00F57927" w:rsidRDefault="00F57927" w:rsidP="00F57927">
      <w:pPr>
        <w:spacing w:line="400" w:lineRule="exact"/>
        <w:ind w:firstLineChars="198" w:firstLine="477"/>
        <w:rPr>
          <w:rFonts w:ascii="宋体" w:hAnsi="宋体"/>
          <w:sz w:val="24"/>
        </w:rPr>
      </w:pPr>
      <w:r w:rsidRPr="00F57927">
        <w:rPr>
          <w:rFonts w:ascii="宋体" w:hAnsi="宋体"/>
          <w:b/>
          <w:bCs/>
          <w:sz w:val="24"/>
        </w:rPr>
        <w:t>在营销导向方面，</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教授的研究成果被认为与</w:t>
      </w:r>
      <w:proofErr w:type="spellStart"/>
      <w:r w:rsidRPr="00F57927">
        <w:rPr>
          <w:rFonts w:ascii="宋体" w:hAnsi="宋体"/>
          <w:sz w:val="24"/>
        </w:rPr>
        <w:t>Narver</w:t>
      </w:r>
      <w:proofErr w:type="spellEnd"/>
      <w:r w:rsidRPr="00F57927">
        <w:rPr>
          <w:rFonts w:ascii="宋体" w:hAnsi="宋体"/>
          <w:sz w:val="24"/>
        </w:rPr>
        <w:t>/Slater和</w:t>
      </w:r>
      <w:proofErr w:type="spellStart"/>
      <w:r w:rsidRPr="00F57927">
        <w:rPr>
          <w:rFonts w:ascii="宋体" w:hAnsi="宋体"/>
          <w:sz w:val="24"/>
        </w:rPr>
        <w:t>Kohli</w:t>
      </w:r>
      <w:proofErr w:type="spellEnd"/>
      <w:r w:rsidRPr="00F57927">
        <w:rPr>
          <w:rFonts w:ascii="宋体" w:hAnsi="宋体"/>
          <w:sz w:val="24"/>
        </w:rPr>
        <w:t xml:space="preserve">/ </w:t>
      </w:r>
      <w:proofErr w:type="spellStart"/>
      <w:r w:rsidRPr="00F57927">
        <w:rPr>
          <w:rFonts w:ascii="宋体" w:hAnsi="宋体"/>
          <w:sz w:val="24"/>
        </w:rPr>
        <w:t>Jaworski</w:t>
      </w:r>
      <w:proofErr w:type="spellEnd"/>
      <w:r w:rsidRPr="00F57927">
        <w:rPr>
          <w:rFonts w:ascii="宋体" w:hAnsi="宋体"/>
          <w:sz w:val="24"/>
        </w:rPr>
        <w:t xml:space="preserve">一起共同构筑了营销导向的理论框架（参见论文：Deng, </w:t>
      </w:r>
      <w:r w:rsidRPr="00F57927">
        <w:rPr>
          <w:rFonts w:ascii="宋体" w:hAnsi="宋体"/>
          <w:snapToGrid w:val="0"/>
          <w:sz w:val="24"/>
        </w:rPr>
        <w:t>Measuring Market Orientation: A Multi-Factor, Multi-Item Approach，</w:t>
      </w:r>
      <w:r w:rsidRPr="00F57927">
        <w:rPr>
          <w:rFonts w:ascii="宋体" w:hAnsi="宋体"/>
          <w:i/>
          <w:iCs/>
          <w:sz w:val="24"/>
          <w:u w:val="single"/>
        </w:rPr>
        <w:t>Journal of Marketing Management</w:t>
      </w:r>
      <w:r w:rsidRPr="00F57927">
        <w:rPr>
          <w:rFonts w:ascii="宋体" w:hAnsi="宋体"/>
          <w:sz w:val="24"/>
        </w:rPr>
        <w:t>, 1994, 10, 725-742，被SCI引用44次，SSCI引用48次）</w:t>
      </w:r>
      <w:r w:rsidRPr="00F57927">
        <w:rPr>
          <w:rFonts w:ascii="宋体" w:hAnsi="宋体"/>
          <w:b/>
          <w:sz w:val="24"/>
        </w:rPr>
        <w:t>（SSCI）</w:t>
      </w:r>
      <w:r w:rsidRPr="00F57927">
        <w:rPr>
          <w:rFonts w:ascii="宋体" w:hAnsi="宋体"/>
          <w:sz w:val="24"/>
        </w:rPr>
        <w:t>。他提出的四要素指标体系有效并具可靠性地度量了企业的营销导向，比以往单一指标的研究更具综合性，其研究样本的多样化比以往单一行业的样本更具实用性，度量体系的可操作性首次得到验证。这一多因素多行业的度量工具为随后在营销导向方面的研究奠定了坚实的基础。</w:t>
      </w:r>
    </w:p>
    <w:p w:rsidR="00F57927" w:rsidRPr="00F57927" w:rsidRDefault="00F57927" w:rsidP="00F57927">
      <w:pPr>
        <w:spacing w:line="400" w:lineRule="exact"/>
        <w:ind w:firstLineChars="200" w:firstLine="480"/>
        <w:rPr>
          <w:rFonts w:ascii="宋体" w:hAnsi="宋体"/>
          <w:sz w:val="24"/>
        </w:rPr>
      </w:pPr>
      <w:r w:rsidRPr="00F57927">
        <w:rPr>
          <w:rFonts w:ascii="宋体" w:hAnsi="宋体"/>
          <w:sz w:val="24"/>
        </w:rPr>
        <w:t>针对西方营销理论在中国经济发展中的作用并不十分明显、对中国企业的推动作用也无人度量的现状，</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 xml:space="preserve">教授通过调查282家中国企业，率先分析了中国企业的营销实践现状和营销活动对经济产生的推动作用，对比了营销实践在国有企业与民营企业之间、东部沿海企业与内地企业之间、大企业与小企业之间的差异。从而揭示了西方营销理论在中国不同地区、不同企业规模和不同所有制类型企业中的应用情况，以及西方营销理论在中国经济发展中的作用。从而使西方营销学界开始关注中国的营销理论研究和营销实践成果，并为中国的营销理论与实证研究走入世界奠定了基础（Deng, </w:t>
      </w:r>
      <w:r w:rsidRPr="00F57927">
        <w:rPr>
          <w:rFonts w:ascii="宋体" w:hAnsi="宋体"/>
          <w:snapToGrid w:val="0"/>
          <w:sz w:val="24"/>
        </w:rPr>
        <w:t xml:space="preserve">The Impact of Economic </w:t>
      </w:r>
      <w:proofErr w:type="spellStart"/>
      <w:r w:rsidRPr="00F57927">
        <w:rPr>
          <w:rFonts w:ascii="宋体" w:hAnsi="宋体"/>
          <w:snapToGrid w:val="0"/>
          <w:sz w:val="24"/>
        </w:rPr>
        <w:t>Liberalisation</w:t>
      </w:r>
      <w:proofErr w:type="spellEnd"/>
      <w:r w:rsidRPr="00F57927">
        <w:rPr>
          <w:rFonts w:ascii="宋体" w:hAnsi="宋体"/>
          <w:snapToGrid w:val="0"/>
          <w:sz w:val="24"/>
        </w:rPr>
        <w:t xml:space="preserve"> on Marketing Activities in the People’s Republic of China，E</w:t>
      </w:r>
      <w:r w:rsidRPr="00F57927">
        <w:rPr>
          <w:rFonts w:ascii="宋体" w:hAnsi="宋体"/>
          <w:i/>
          <w:iCs/>
          <w:sz w:val="24"/>
          <w:u w:val="single"/>
        </w:rPr>
        <w:t>uropean Journal of Marketing,</w:t>
      </w:r>
      <w:r w:rsidRPr="00F57927">
        <w:rPr>
          <w:rFonts w:ascii="宋体" w:hAnsi="宋体"/>
          <w:sz w:val="24"/>
        </w:rPr>
        <w:t xml:space="preserve"> 1995, 29, 6-22, 被SSCI引用5次</w:t>
      </w:r>
      <w:r w:rsidRPr="00F57927">
        <w:rPr>
          <w:rFonts w:ascii="宋体" w:hAnsi="宋体"/>
          <w:color w:val="000000"/>
          <w:sz w:val="24"/>
        </w:rPr>
        <w:t>）。</w:t>
      </w:r>
      <w:r w:rsidRPr="00F57927">
        <w:rPr>
          <w:rFonts w:ascii="宋体" w:hAnsi="宋体"/>
          <w:b/>
          <w:color w:val="000000"/>
          <w:sz w:val="24"/>
        </w:rPr>
        <w:t>（SSCI）</w:t>
      </w:r>
    </w:p>
    <w:p w:rsidR="00F57927" w:rsidRPr="00F57927" w:rsidRDefault="00F57927" w:rsidP="00F57927">
      <w:pPr>
        <w:spacing w:line="400" w:lineRule="exact"/>
        <w:ind w:firstLineChars="200" w:firstLine="480"/>
        <w:rPr>
          <w:rFonts w:ascii="宋体" w:hAnsi="宋体"/>
          <w:b/>
          <w:color w:val="000000"/>
          <w:sz w:val="24"/>
        </w:rPr>
      </w:pP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教授还率先对中国企业的营销导向进行了测定。他度量了中国企业在经济改革中对营销导</w:t>
      </w:r>
      <w:r w:rsidRPr="00F57927">
        <w:rPr>
          <w:rFonts w:ascii="宋体" w:hAnsi="宋体"/>
          <w:sz w:val="24"/>
        </w:rPr>
        <w:lastRenderedPageBreak/>
        <w:t xml:space="preserve">向理念的认知程度和实施水平。他通过实证研究证明中国企业越来越重视营销活动，并努力适应快变的市场需求。但迫于计划经济体制、关系网络、信息不完善等方面的障碍，营销导向的实践仍受到限制。在理论上，他证明了市场化程度越高，买方市场越强，企业的营销导向程度就越高。并就进一步加强开放市场，增设对外开放城市，增加对民营企业的支持和减少国有企业限制等方面提出了有意的意见和建议（参见论文：Deng, </w:t>
      </w:r>
      <w:r w:rsidRPr="00F57927">
        <w:rPr>
          <w:rFonts w:ascii="宋体" w:hAnsi="宋体"/>
          <w:snapToGrid w:val="0"/>
          <w:sz w:val="24"/>
        </w:rPr>
        <w:t>Market Orientation of Chinese Enterprises during a Time of Transition，</w:t>
      </w:r>
      <w:r w:rsidRPr="00F57927">
        <w:rPr>
          <w:rFonts w:ascii="宋体" w:hAnsi="宋体"/>
          <w:i/>
          <w:iCs/>
          <w:sz w:val="24"/>
          <w:u w:val="single"/>
        </w:rPr>
        <w:t>European Journal of Marketing,</w:t>
      </w:r>
      <w:r w:rsidRPr="00F57927">
        <w:rPr>
          <w:rFonts w:ascii="宋体" w:hAnsi="宋体"/>
          <w:sz w:val="24"/>
        </w:rPr>
        <w:t xml:space="preserve"> 1999, 33, 631-654, 被SSCI引用8次）。</w:t>
      </w:r>
      <w:r w:rsidRPr="00F57927">
        <w:rPr>
          <w:rFonts w:ascii="宋体" w:hAnsi="宋体"/>
          <w:b/>
          <w:color w:val="000000"/>
          <w:sz w:val="24"/>
        </w:rPr>
        <w:t>（SSCI）</w:t>
      </w:r>
    </w:p>
    <w:p w:rsidR="00F57927" w:rsidRPr="00F57927" w:rsidRDefault="00F57927" w:rsidP="00F57927">
      <w:pPr>
        <w:spacing w:line="400" w:lineRule="exact"/>
        <w:ind w:firstLineChars="200" w:firstLine="482"/>
        <w:rPr>
          <w:rFonts w:ascii="宋体" w:hAnsi="宋体"/>
          <w:b/>
          <w:snapToGrid w:val="0"/>
          <w:sz w:val="24"/>
        </w:rPr>
      </w:pPr>
      <w:r w:rsidRPr="00F57927">
        <w:rPr>
          <w:rFonts w:ascii="宋体" w:hAnsi="宋体"/>
          <w:b/>
          <w:bCs/>
          <w:sz w:val="24"/>
        </w:rPr>
        <w:t>在进出口战略方面，</w:t>
      </w:r>
      <w:r w:rsidRPr="00F57927">
        <w:rPr>
          <w:rFonts w:ascii="宋体" w:hAnsi="宋体"/>
          <w:sz w:val="24"/>
        </w:rPr>
        <w:t>早在1986年，</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教授就开始了对此方面的研究。</w:t>
      </w:r>
      <w:r w:rsidRPr="00F57927">
        <w:rPr>
          <w:rFonts w:ascii="宋体" w:hAnsi="宋体"/>
          <w:snapToGrid w:val="0"/>
          <w:sz w:val="24"/>
        </w:rPr>
        <w:t>80年代，亚洲发展中国家大量向北美发达国家出口商品，但却不掌握进口商对供应商的选择标准。而在此方面的理论研究也几乎是空白。面对这种情况，</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 xml:space="preserve">教授通过实证研究，确定了美国进口商对供应商的选择标准和信息来源，发现了中国出口商对这些标准的理解差异。通过研究，他指出中国出口商如果仅以本国市场特征为基础，势必难以准确把握美国进口商的需求，因此建议中国出口商应积极的适应进口商的标准，并就如何适应进口商的标准提出了自己的建议。(Deng, </w:t>
      </w:r>
      <w:r w:rsidRPr="00F57927">
        <w:rPr>
          <w:rFonts w:ascii="宋体" w:hAnsi="宋体"/>
          <w:snapToGrid w:val="0"/>
          <w:sz w:val="24"/>
        </w:rPr>
        <w:t xml:space="preserve">Do Neophyte Exporters Understand Importers? </w:t>
      </w:r>
      <w:r w:rsidRPr="00F57927">
        <w:rPr>
          <w:rFonts w:ascii="宋体" w:hAnsi="宋体"/>
          <w:i/>
          <w:iCs/>
          <w:snapToGrid w:val="0"/>
          <w:sz w:val="24"/>
          <w:u w:val="single"/>
        </w:rPr>
        <w:t>Journal of World Business</w:t>
      </w:r>
      <w:r w:rsidRPr="00F57927">
        <w:rPr>
          <w:rFonts w:ascii="宋体" w:hAnsi="宋体"/>
          <w:snapToGrid w:val="0"/>
          <w:sz w:val="24"/>
        </w:rPr>
        <w:t xml:space="preserve">, (Formerly Columbia Journal of World Business) 1988, 23, 4, Winter, 49-56, </w:t>
      </w:r>
      <w:r w:rsidRPr="00F57927">
        <w:rPr>
          <w:rFonts w:ascii="宋体" w:hAnsi="宋体"/>
          <w:sz w:val="24"/>
        </w:rPr>
        <w:t>被SSCI引用2次</w:t>
      </w:r>
      <w:r w:rsidRPr="00F57927">
        <w:rPr>
          <w:rFonts w:ascii="宋体" w:hAnsi="宋体"/>
          <w:b/>
          <w:snapToGrid w:val="0"/>
          <w:sz w:val="24"/>
        </w:rPr>
        <w:t>)</w:t>
      </w:r>
      <w:r w:rsidRPr="00F57927">
        <w:rPr>
          <w:rFonts w:ascii="宋体" w:hAnsi="宋体"/>
          <w:b/>
          <w:color w:val="000000"/>
          <w:sz w:val="24"/>
        </w:rPr>
        <w:t xml:space="preserve"> （SSCI）</w:t>
      </w:r>
    </w:p>
    <w:p w:rsidR="00F57927" w:rsidRPr="00F57927" w:rsidRDefault="00F57927" w:rsidP="00F57927">
      <w:pPr>
        <w:tabs>
          <w:tab w:val="left" w:pos="360"/>
        </w:tabs>
        <w:spacing w:line="400" w:lineRule="exact"/>
        <w:ind w:firstLineChars="200" w:firstLine="480"/>
        <w:rPr>
          <w:rFonts w:ascii="宋体" w:hAnsi="宋体"/>
          <w:snapToGrid w:val="0"/>
          <w:sz w:val="24"/>
        </w:rPr>
      </w:pPr>
      <w:r w:rsidRPr="00F57927">
        <w:rPr>
          <w:rFonts w:ascii="宋体" w:hAnsi="宋体"/>
          <w:sz w:val="24"/>
        </w:rPr>
        <w:t>90年代，</w:t>
      </w:r>
      <w:r w:rsidRPr="00F57927">
        <w:rPr>
          <w:rFonts w:ascii="宋体" w:hAnsi="宋体"/>
          <w:snapToGrid w:val="0"/>
          <w:sz w:val="24"/>
        </w:rPr>
        <w:t>亚洲国家向北美国家出口商品的竞争愈发激烈，亚洲出口商愈发难于获取和保留北美客户。</w:t>
      </w:r>
      <w:r w:rsidRPr="00F57927">
        <w:rPr>
          <w:rFonts w:ascii="宋体" w:hAnsi="宋体"/>
          <w:sz w:val="24"/>
        </w:rPr>
        <w:t xml:space="preserve">邓胜梁教授进一步深入研究此问题，更加详细地分析了美国进口商的选择标准，并具体分析了进口商两个层次：批发商和零售商，三个行业：服装、电器、瓷器的特征，为发展中国家的出口商更有利的参与竞争提供了建议。(Deng, </w:t>
      </w:r>
      <w:r w:rsidRPr="00F57927">
        <w:rPr>
          <w:rFonts w:ascii="宋体" w:hAnsi="宋体"/>
          <w:snapToGrid w:val="0"/>
          <w:sz w:val="24"/>
        </w:rPr>
        <w:t xml:space="preserve">Importer Purchase </w:t>
      </w:r>
      <w:proofErr w:type="spellStart"/>
      <w:r w:rsidRPr="00F57927">
        <w:rPr>
          <w:rFonts w:ascii="宋体" w:hAnsi="宋体"/>
          <w:snapToGrid w:val="0"/>
          <w:sz w:val="24"/>
        </w:rPr>
        <w:t>Behaviour</w:t>
      </w:r>
      <w:proofErr w:type="spellEnd"/>
      <w:r w:rsidRPr="00F57927">
        <w:rPr>
          <w:rFonts w:ascii="宋体" w:hAnsi="宋体"/>
          <w:snapToGrid w:val="0"/>
          <w:sz w:val="24"/>
        </w:rPr>
        <w:t xml:space="preserve">: Guidelines for Asian Exporters. </w:t>
      </w:r>
      <w:r w:rsidRPr="00F57927">
        <w:rPr>
          <w:rFonts w:ascii="宋体" w:hAnsi="宋体"/>
          <w:i/>
          <w:iCs/>
          <w:snapToGrid w:val="0"/>
          <w:sz w:val="24"/>
          <w:u w:val="single"/>
        </w:rPr>
        <w:t>Journal of Business Research,</w:t>
      </w:r>
      <w:r w:rsidRPr="00F57927">
        <w:rPr>
          <w:rFonts w:ascii="宋体" w:hAnsi="宋体"/>
          <w:snapToGrid w:val="0"/>
          <w:sz w:val="24"/>
        </w:rPr>
        <w:t>1995, 32, 1, 41-47,</w:t>
      </w:r>
      <w:r w:rsidRPr="00F57927">
        <w:rPr>
          <w:rFonts w:ascii="宋体" w:hAnsi="宋体"/>
          <w:sz w:val="24"/>
        </w:rPr>
        <w:t xml:space="preserve"> 被SCI和SSCI各引用10次</w:t>
      </w:r>
      <w:r w:rsidRPr="00F57927">
        <w:rPr>
          <w:rFonts w:ascii="宋体" w:hAnsi="宋体"/>
          <w:snapToGrid w:val="0"/>
          <w:sz w:val="24"/>
        </w:rPr>
        <w:t>)</w:t>
      </w:r>
      <w:r w:rsidRPr="00F57927">
        <w:rPr>
          <w:rFonts w:ascii="宋体" w:hAnsi="宋体"/>
          <w:b/>
          <w:color w:val="000000"/>
          <w:sz w:val="24"/>
        </w:rPr>
        <w:t xml:space="preserve"> （SSCI）</w:t>
      </w:r>
    </w:p>
    <w:p w:rsidR="00F57927" w:rsidRPr="00F57927" w:rsidRDefault="00F57927" w:rsidP="00F57927">
      <w:pPr>
        <w:tabs>
          <w:tab w:val="left" w:pos="360"/>
        </w:tabs>
        <w:spacing w:line="400" w:lineRule="exact"/>
        <w:ind w:firstLineChars="200" w:firstLine="480"/>
        <w:rPr>
          <w:rFonts w:ascii="宋体" w:hAnsi="宋体"/>
          <w:b/>
          <w:bCs/>
          <w:sz w:val="24"/>
        </w:rPr>
      </w:pPr>
      <w:r w:rsidRPr="00F57927">
        <w:rPr>
          <w:rFonts w:ascii="宋体" w:hAnsi="宋体"/>
          <w:snapToGrid w:val="0"/>
          <w:sz w:val="24"/>
        </w:rPr>
        <w:t>除了对亚洲出口市场，</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还对加拿大出口市场进行了研究。北美理论界对出口的研究以美国市场为主，这并不能代表其他国家出口的特点。而且，这些研究从整体出发，未对不同类型的企业加以区分，或仅用单一的指标区分，不能准确的分析企业出口的模式和定位。</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 xml:space="preserve">教授选择了加拿大的中小型出口企业，从国际化程度、规模、产品类型角度进行了区分，分析了不同企业对影响出口的关键因素的不同观念，并证明出口业务的发展对观念的形成有直接影响(参见论文：Deng, </w:t>
      </w:r>
      <w:r w:rsidRPr="00F57927">
        <w:rPr>
          <w:rFonts w:ascii="宋体" w:hAnsi="宋体"/>
          <w:snapToGrid w:val="0"/>
          <w:sz w:val="24"/>
        </w:rPr>
        <w:t>Perceived Export Success Factors of Small and Mid- Sized Canadian Firms</w:t>
      </w:r>
      <w:r w:rsidRPr="00F57927">
        <w:rPr>
          <w:rFonts w:ascii="宋体" w:hAnsi="宋体"/>
          <w:i/>
          <w:iCs/>
          <w:snapToGrid w:val="0"/>
          <w:sz w:val="24"/>
          <w:u w:val="single"/>
        </w:rPr>
        <w:t xml:space="preserve"> Journal of International Marketing</w:t>
      </w:r>
      <w:r w:rsidRPr="00F57927">
        <w:rPr>
          <w:rFonts w:ascii="宋体" w:hAnsi="宋体"/>
          <w:snapToGrid w:val="0"/>
          <w:sz w:val="24"/>
        </w:rPr>
        <w:t>, 1997. Vol. 5, No. 4, pp. 53-72,</w:t>
      </w:r>
      <w:r w:rsidRPr="00F57927">
        <w:rPr>
          <w:rFonts w:ascii="宋体" w:hAnsi="宋体"/>
          <w:sz w:val="24"/>
        </w:rPr>
        <w:t xml:space="preserve"> 被SSCI引用11次</w:t>
      </w:r>
      <w:r w:rsidRPr="00F57927">
        <w:rPr>
          <w:rFonts w:ascii="宋体" w:hAnsi="宋体"/>
          <w:snapToGrid w:val="0"/>
          <w:sz w:val="24"/>
        </w:rPr>
        <w:t>)。</w:t>
      </w:r>
      <w:r w:rsidRPr="00F57927">
        <w:rPr>
          <w:rFonts w:ascii="宋体" w:hAnsi="宋体"/>
          <w:b/>
          <w:color w:val="000000"/>
          <w:sz w:val="24"/>
        </w:rPr>
        <w:t>（SSCI）</w:t>
      </w:r>
    </w:p>
    <w:p w:rsidR="00F57927" w:rsidRPr="00F57927" w:rsidRDefault="00F57927" w:rsidP="00F57927">
      <w:pPr>
        <w:tabs>
          <w:tab w:val="left" w:pos="360"/>
        </w:tabs>
        <w:spacing w:line="400" w:lineRule="exact"/>
        <w:ind w:firstLineChars="200" w:firstLine="482"/>
        <w:rPr>
          <w:rFonts w:ascii="宋体" w:hAnsi="宋体"/>
          <w:snapToGrid w:val="0"/>
          <w:sz w:val="24"/>
        </w:rPr>
      </w:pPr>
      <w:r w:rsidRPr="00F57927">
        <w:rPr>
          <w:rFonts w:ascii="宋体" w:hAnsi="宋体"/>
          <w:b/>
          <w:bCs/>
          <w:sz w:val="24"/>
        </w:rPr>
        <w:t>在中国的营销与战略方面，</w:t>
      </w:r>
      <w:r w:rsidRPr="00F57927">
        <w:rPr>
          <w:rFonts w:ascii="宋体" w:hAnsi="宋体"/>
          <w:snapToGrid w:val="0"/>
          <w:sz w:val="24"/>
        </w:rPr>
        <w:t>随着全球竞争的扩散，产业竞争力成为了研究热点，然而大多数的研究都是从理论上进行概念性或描述性的研究，实证方面的研究也大多集中在对国家、产业和企业进行竞争力的调查分析方面，却缺少切实可行的定量模型研究。</w:t>
      </w:r>
      <w:proofErr w:type="spellStart"/>
      <w:r w:rsidRPr="00F57927">
        <w:rPr>
          <w:rFonts w:ascii="宋体" w:hAnsi="宋体"/>
          <w:snapToGrid w:val="0"/>
          <w:sz w:val="24"/>
        </w:rPr>
        <w:t>Dutta</w:t>
      </w:r>
      <w:proofErr w:type="spellEnd"/>
      <w:r w:rsidRPr="00F57927">
        <w:rPr>
          <w:rFonts w:ascii="宋体" w:hAnsi="宋体"/>
          <w:snapToGrid w:val="0"/>
          <w:sz w:val="24"/>
        </w:rPr>
        <w:t>, B.K. and King W. R(1980)和</w:t>
      </w:r>
      <w:proofErr w:type="spellStart"/>
      <w:r w:rsidRPr="00F57927">
        <w:rPr>
          <w:rFonts w:ascii="宋体" w:hAnsi="宋体"/>
          <w:snapToGrid w:val="0"/>
          <w:sz w:val="24"/>
        </w:rPr>
        <w:t>Karnani</w:t>
      </w:r>
      <w:proofErr w:type="spellEnd"/>
      <w:r w:rsidRPr="00F57927">
        <w:rPr>
          <w:rFonts w:ascii="宋体" w:hAnsi="宋体"/>
          <w:snapToGrid w:val="0"/>
          <w:sz w:val="24"/>
        </w:rPr>
        <w:t>(1982,1985)采用博奕论原理建立了竞争强度、市场份额和获利能力的垄断竞争分析模型。该模型因采用大样本分析故不能被单个企业应用。Oral，M（1989，1993）提出了“生产—营销”的竞争战略分析框架，并以产品产量和成本为主要变化因素，建立了测定企业当前竞争力水平和潜在竞争水平的模型。这些研究也尝试通过定量分析建立产业竞争力的模型，但却没有考虑将产业竞争力关键因素的深度和广度(DFCA)与竞争战略目标(CSGs)结合起来，以分析如何创造竞争优势。</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教授与西安交通大学的教授合作，结合DFCA与CSGs建立了竞争优势分析模型，                                                     并将此模型应用在中国的家用电器生产企业中。他的研究帮助了企业确定</w:t>
      </w:r>
      <w:r w:rsidRPr="00F57927">
        <w:rPr>
          <w:rFonts w:ascii="宋体" w:hAnsi="宋体"/>
          <w:snapToGrid w:val="0"/>
          <w:sz w:val="24"/>
        </w:rPr>
        <w:t xml:space="preserve">产业竞争力关键因素的深度和广度，通过定量和定性方法明确了DFCA与CSGs间竞争力分布的特征，建立了实现两者结合的P—C距阵测定方法，并成功地获得应用。(参见论文：Li，Deng, A Methodology for Competitive Advantage </w:t>
      </w:r>
      <w:r w:rsidRPr="00F57927">
        <w:rPr>
          <w:rFonts w:ascii="宋体" w:hAnsi="宋体"/>
          <w:snapToGrid w:val="0"/>
          <w:sz w:val="24"/>
        </w:rPr>
        <w:lastRenderedPageBreak/>
        <w:t xml:space="preserve">Analysis and Strategy Formulation: An Example in a Transitional Economy. </w:t>
      </w:r>
      <w:r w:rsidRPr="00F57927">
        <w:rPr>
          <w:rFonts w:ascii="宋体" w:hAnsi="宋体"/>
          <w:i/>
          <w:iCs/>
          <w:snapToGrid w:val="0"/>
          <w:sz w:val="24"/>
          <w:u w:val="single"/>
        </w:rPr>
        <w:t>European Journal of Operational Research</w:t>
      </w:r>
      <w:r w:rsidRPr="00F57927">
        <w:rPr>
          <w:rFonts w:ascii="宋体" w:hAnsi="宋体"/>
          <w:snapToGrid w:val="0"/>
          <w:sz w:val="24"/>
        </w:rPr>
        <w:t xml:space="preserve">, 1999, Vol. 118, No. 2, 259-270, </w:t>
      </w:r>
      <w:r w:rsidRPr="00F57927">
        <w:rPr>
          <w:rFonts w:ascii="宋体" w:hAnsi="宋体"/>
          <w:sz w:val="24"/>
        </w:rPr>
        <w:t>被SCI和SSCI各引用4次</w:t>
      </w:r>
      <w:r w:rsidRPr="00F57927">
        <w:rPr>
          <w:rFonts w:ascii="宋体" w:hAnsi="宋体"/>
          <w:snapToGrid w:val="0"/>
          <w:sz w:val="24"/>
        </w:rPr>
        <w:t>)</w:t>
      </w:r>
      <w:r w:rsidRPr="00F57927">
        <w:rPr>
          <w:rFonts w:ascii="宋体" w:hAnsi="宋体"/>
          <w:b/>
          <w:color w:val="000000"/>
          <w:sz w:val="24"/>
        </w:rPr>
        <w:t xml:space="preserve"> （SCI）</w:t>
      </w:r>
    </w:p>
    <w:p w:rsidR="00F57927" w:rsidRPr="00F57927" w:rsidRDefault="00F57927" w:rsidP="00F57927">
      <w:pPr>
        <w:tabs>
          <w:tab w:val="left" w:pos="360"/>
        </w:tabs>
        <w:spacing w:line="400" w:lineRule="exact"/>
        <w:ind w:firstLineChars="200" w:firstLine="480"/>
        <w:rPr>
          <w:rFonts w:ascii="宋体" w:hAnsi="宋体"/>
          <w:sz w:val="24"/>
        </w:rPr>
      </w:pPr>
      <w:r w:rsidRPr="00F57927">
        <w:rPr>
          <w:rFonts w:ascii="宋体" w:hAnsi="宋体"/>
          <w:snapToGrid w:val="0"/>
          <w:sz w:val="24"/>
        </w:rPr>
        <w:t>针对改革开放初期中国吸引外国投资的问题，</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教授与西安交通大学的教授合作，提出了独到的见解。以往有关的研究成果在分析投资环境时，是从投资者的角度进行分析，忽视了投资者和受资者之间的协调关系。为吸引外资，</w:t>
      </w:r>
      <w:r w:rsidRPr="00F57927">
        <w:rPr>
          <w:rFonts w:ascii="宋体" w:hAnsi="宋体"/>
          <w:snapToGrid w:val="0"/>
          <w:sz w:val="24"/>
        </w:rPr>
        <w:t>东道国政府的政策制定者不仅要了解投资者的需求，还要了解自身的投资环境。关于评价投资环境的研究很多，但多从投资者角度分析投资环境的选择。</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则从本国/本地区角度分析如何评价和改善自身的投资环境，创造性地提出了具操作性的投资环境评价方法，并进行了实际案例的应用研究。他们的研究成果可帮助中国有关部门确定和选择有利的投资类型，根据所选择的投资类型改善投资环境，以制定积极的投资政策。(参见论文：Deng, Li，Chen，</w:t>
      </w:r>
      <w:r w:rsidRPr="00F57927">
        <w:rPr>
          <w:rFonts w:ascii="宋体" w:hAnsi="宋体"/>
          <w:snapToGrid w:val="0"/>
          <w:sz w:val="24"/>
        </w:rPr>
        <w:t xml:space="preserve">Evaluating Foreign Investment Environment in China: A Matrix Approach. </w:t>
      </w:r>
      <w:r w:rsidRPr="00F57927">
        <w:rPr>
          <w:rFonts w:ascii="宋体" w:hAnsi="宋体"/>
          <w:i/>
          <w:iCs/>
          <w:snapToGrid w:val="0"/>
          <w:sz w:val="24"/>
          <w:u w:val="single"/>
        </w:rPr>
        <w:t>European Journal of Operational Research</w:t>
      </w:r>
      <w:r w:rsidRPr="00F57927">
        <w:rPr>
          <w:rFonts w:ascii="宋体" w:hAnsi="宋体"/>
          <w:snapToGrid w:val="0"/>
          <w:sz w:val="24"/>
        </w:rPr>
        <w:t>, 1997, Vol. 100, No.1, 16-26,</w:t>
      </w:r>
      <w:r w:rsidRPr="00F57927">
        <w:rPr>
          <w:rFonts w:ascii="宋体" w:hAnsi="宋体"/>
          <w:sz w:val="24"/>
        </w:rPr>
        <w:t xml:space="preserve"> 被SCI引用2次</w:t>
      </w:r>
      <w:r w:rsidRPr="00F57927">
        <w:rPr>
          <w:rFonts w:ascii="宋体" w:hAnsi="宋体"/>
          <w:snapToGrid w:val="0"/>
          <w:sz w:val="24"/>
        </w:rPr>
        <w:t>)</w:t>
      </w:r>
      <w:r w:rsidRPr="00F57927">
        <w:rPr>
          <w:rFonts w:ascii="宋体" w:hAnsi="宋体"/>
          <w:b/>
          <w:color w:val="000000"/>
          <w:sz w:val="24"/>
        </w:rPr>
        <w:t xml:space="preserve"> （SCI）</w:t>
      </w:r>
    </w:p>
    <w:p w:rsidR="00F57927" w:rsidRPr="00F57927" w:rsidRDefault="00F57927" w:rsidP="00F57927">
      <w:pPr>
        <w:tabs>
          <w:tab w:val="left" w:pos="360"/>
        </w:tabs>
        <w:spacing w:line="400" w:lineRule="exact"/>
        <w:ind w:firstLineChars="200" w:firstLine="480"/>
        <w:rPr>
          <w:rFonts w:ascii="宋体" w:hAnsi="宋体"/>
          <w:sz w:val="24"/>
        </w:rPr>
      </w:pP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w:t>
      </w:r>
      <w:r w:rsidRPr="00F57927">
        <w:rPr>
          <w:rFonts w:ascii="宋体" w:hAnsi="宋体"/>
          <w:snapToGrid w:val="0"/>
          <w:sz w:val="24"/>
        </w:rPr>
        <w:t>针对北美企业在进入东南亚和中国市场时，面临知识产权保护问题也做出了开创性的研究工作。在90年代中期，有关东南亚和中国知识产权保护现状的研究较少，更缺少对企业应如何制定亚洲市场进入战略方面的研究。</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教授研究了</w:t>
      </w:r>
      <w:r w:rsidRPr="00F57927">
        <w:rPr>
          <w:rFonts w:ascii="宋体" w:hAnsi="宋体"/>
          <w:snapToGrid w:val="0"/>
          <w:sz w:val="24"/>
        </w:rPr>
        <w:t xml:space="preserve">东南亚和中国现有的知识产权保护法律法规体系和执行情况，针对北美中小企业在进入东南亚和中国市场时应如何保护知识产权问题提出了具参考性的意见和建议。(参见论文：Deng, A Guide to Intellectual Property Rights In Southeast Asia and China, </w:t>
      </w:r>
      <w:r w:rsidRPr="00F57927">
        <w:rPr>
          <w:rFonts w:ascii="宋体" w:hAnsi="宋体"/>
          <w:i/>
          <w:iCs/>
          <w:snapToGrid w:val="0"/>
          <w:sz w:val="24"/>
          <w:u w:val="single"/>
        </w:rPr>
        <w:t>Business Horizons,</w:t>
      </w:r>
      <w:r w:rsidRPr="00F57927">
        <w:rPr>
          <w:rFonts w:ascii="宋体" w:hAnsi="宋体"/>
          <w:snapToGrid w:val="0"/>
          <w:sz w:val="24"/>
        </w:rPr>
        <w:t xml:space="preserve"> 1996, Vol. 39, No. 6, 43-51,</w:t>
      </w:r>
      <w:r w:rsidRPr="00F57927">
        <w:rPr>
          <w:rFonts w:ascii="宋体" w:hAnsi="宋体"/>
          <w:sz w:val="24"/>
        </w:rPr>
        <w:t xml:space="preserve"> 被SCI和SSCI各引用6次</w:t>
      </w:r>
      <w:r w:rsidRPr="00F57927">
        <w:rPr>
          <w:rFonts w:ascii="宋体" w:hAnsi="宋体"/>
          <w:snapToGrid w:val="0"/>
          <w:sz w:val="24"/>
        </w:rPr>
        <w:t>)</w:t>
      </w:r>
      <w:r w:rsidRPr="00F57927">
        <w:rPr>
          <w:rFonts w:ascii="宋体" w:hAnsi="宋体"/>
          <w:b/>
          <w:color w:val="000000"/>
          <w:sz w:val="24"/>
        </w:rPr>
        <w:t xml:space="preserve"> （SSCI）</w:t>
      </w:r>
    </w:p>
    <w:p w:rsidR="00F57927" w:rsidRPr="00F57927" w:rsidRDefault="00F57927" w:rsidP="00F57927">
      <w:pPr>
        <w:spacing w:line="400" w:lineRule="exact"/>
        <w:ind w:firstLineChars="200" w:firstLine="480"/>
        <w:rPr>
          <w:rFonts w:ascii="宋体" w:hAnsi="宋体"/>
          <w:sz w:val="24"/>
        </w:rPr>
      </w:pP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被加拿大人文社会科学研究学会评价为“活跃、富有成果的学者”。他凭借自身的语言和学术背景优势，成为北美和中国营销领域学术研究的一座桥梁，为两地学者和企业提供帮助。他在度量营销导向方面做出了重要的贡献。他还积极参与教育工作，培养研究人员。总之，</w:t>
      </w:r>
      <w:smartTag w:uri="urn:schemas-microsoft-com:office:smarttags" w:element="PersonName">
        <w:smartTagPr>
          <w:attr w:name="ProductID" w:val="邓胜梁"/>
        </w:smartTagPr>
        <w:r w:rsidRPr="00F57927">
          <w:rPr>
            <w:rFonts w:ascii="宋体" w:hAnsi="宋体"/>
            <w:sz w:val="24"/>
          </w:rPr>
          <w:t>邓胜梁</w:t>
        </w:r>
      </w:smartTag>
      <w:r w:rsidRPr="00F57927">
        <w:rPr>
          <w:rFonts w:ascii="宋体" w:hAnsi="宋体"/>
          <w:sz w:val="24"/>
        </w:rPr>
        <w:t>教授“为推进、发展和传播商务管理、出口、营销导向的度量研究等方面的工作做出了杰出的贡献” （引自External Assessments, Social Sciences and Humanities Research Council of Canada）。</w:t>
      </w:r>
    </w:p>
    <w:p w:rsidR="006C3925" w:rsidRPr="00F57927" w:rsidRDefault="006C3925">
      <w:pPr>
        <w:rPr>
          <w:rFonts w:asciiTheme="minorEastAsia" w:eastAsiaTheme="minorEastAsia" w:hAnsiTheme="minorEastAsia"/>
          <w:sz w:val="24"/>
        </w:rPr>
      </w:pPr>
    </w:p>
    <w:sectPr w:rsidR="006C3925" w:rsidRPr="00F57927" w:rsidSect="00F57927">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7927"/>
    <w:rsid w:val="000C38F6"/>
    <w:rsid w:val="00116DF6"/>
    <w:rsid w:val="002741DA"/>
    <w:rsid w:val="002E6DAE"/>
    <w:rsid w:val="006C3925"/>
    <w:rsid w:val="00DB2650"/>
    <w:rsid w:val="00F579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9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6DA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696</Words>
  <Characters>3972</Characters>
  <Application>Microsoft Office Word</Application>
  <DocSecurity>0</DocSecurity>
  <Lines>33</Lines>
  <Paragraphs>9</Paragraphs>
  <ScaleCrop>false</ScaleCrop>
  <Company>Microsoft</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5</cp:revision>
  <dcterms:created xsi:type="dcterms:W3CDTF">2015-07-06T07:41:00Z</dcterms:created>
  <dcterms:modified xsi:type="dcterms:W3CDTF">2015-07-07T07:18:00Z</dcterms:modified>
</cp:coreProperties>
</file>